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18" w:rsidRDefault="00035718" w:rsidP="00035718">
      <w:pPr>
        <w:jc w:val="center"/>
        <w:rPr>
          <w:b/>
        </w:rPr>
      </w:pPr>
      <w:r w:rsidRPr="00035718">
        <w:rPr>
          <w:b/>
        </w:rPr>
        <w:t>Jautājumi un atbildes.</w:t>
      </w:r>
    </w:p>
    <w:p w:rsidR="00035718" w:rsidRPr="00035718" w:rsidRDefault="00035718" w:rsidP="00035718">
      <w:pPr>
        <w:jc w:val="center"/>
        <w:rPr>
          <w:b/>
        </w:rPr>
      </w:pPr>
    </w:p>
    <w:p w:rsidR="00035718" w:rsidRPr="00035718" w:rsidRDefault="00035718" w:rsidP="00035718">
      <w:pPr>
        <w:jc w:val="both"/>
        <w:rPr>
          <w:b/>
          <w:i/>
        </w:rPr>
      </w:pPr>
      <w:r w:rsidRPr="00035718">
        <w:rPr>
          <w:b/>
          <w:i/>
        </w:rPr>
        <w:t>Jautājumi:</w:t>
      </w:r>
    </w:p>
    <w:p w:rsidR="00035718" w:rsidRDefault="00035718" w:rsidP="00035718">
      <w:pPr>
        <w:rPr>
          <w:rFonts w:ascii="Georgia" w:hAnsi="Georgia"/>
        </w:rPr>
      </w:pPr>
      <w:r>
        <w:rPr>
          <w:rFonts w:ascii="Georgia" w:hAnsi="Georgia"/>
        </w:rPr>
        <w:t>1.Vai ir izstrādāts konkrēts risinājums Trošu pacēlāju montāžai uz jumta, kas aizvieto sastatņu montāžu.</w:t>
      </w:r>
    </w:p>
    <w:p w:rsidR="00035718" w:rsidRDefault="00035718" w:rsidP="00035718">
      <w:pPr>
        <w:rPr>
          <w:rFonts w:ascii="Georgia" w:hAnsi="Georgia"/>
        </w:rPr>
      </w:pPr>
      <w:r>
        <w:rPr>
          <w:rFonts w:ascii="Georgia" w:hAnsi="Georgia"/>
        </w:rPr>
        <w:t>2. Vai iespējams sastatnes montēt un vienstāva apjoma jumta (fasādei A-L; L-A)</w:t>
      </w:r>
    </w:p>
    <w:p w:rsidR="00035718" w:rsidRDefault="00035718" w:rsidP="00035718">
      <w:pPr>
        <w:rPr>
          <w:rFonts w:ascii="Georgia" w:hAnsi="Georgia"/>
        </w:rPr>
      </w:pPr>
      <w:r>
        <w:rPr>
          <w:rFonts w:ascii="Georgia" w:hAnsi="Georgia"/>
        </w:rPr>
        <w:t>3. Ja jā vai drīkst labot apjomus pozīcijā Sastatņu montāža un demontāža</w:t>
      </w:r>
    </w:p>
    <w:p w:rsidR="00035718" w:rsidRDefault="00035718" w:rsidP="00035718">
      <w:pPr>
        <w:rPr>
          <w:rFonts w:ascii="Georgia" w:hAnsi="Georgia"/>
        </w:rPr>
      </w:pPr>
      <w:r>
        <w:rPr>
          <w:rFonts w:ascii="Georgia" w:hAnsi="Georgia"/>
        </w:rPr>
        <w:t>4. Vai Nolikuma 6.2.3.9. punktā minētais apliecinājums ir jāparaksta pretendentam vai atkritumu savākšanas uzņēmumam</w:t>
      </w:r>
    </w:p>
    <w:p w:rsidR="00035718" w:rsidRDefault="00035718" w:rsidP="00035718">
      <w:pPr>
        <w:rPr>
          <w:rFonts w:ascii="Georgia" w:hAnsi="Georgia"/>
        </w:rPr>
      </w:pPr>
      <w:r>
        <w:rPr>
          <w:rFonts w:ascii="Georgia" w:hAnsi="Georgia"/>
        </w:rPr>
        <w:t>5. Vai, gadījumā, ja pretendentam jau ir noslēgts līgums par atkritumu savākšanu, ir nepieciešams vēl šis apliecinājums</w:t>
      </w:r>
    </w:p>
    <w:p w:rsidR="00035718" w:rsidRDefault="00035718" w:rsidP="00035718">
      <w:pPr>
        <w:rPr>
          <w:rFonts w:ascii="Georgia" w:hAnsi="Georgia"/>
        </w:rPr>
      </w:pPr>
      <w:r>
        <w:rPr>
          <w:rFonts w:ascii="Georgia" w:hAnsi="Georgia"/>
        </w:rPr>
        <w:t>6. Vai Nolikuma 6.2.3.9. punktā minēto dokumentu var aizstāt ar līguma kopiju par atkritumu savākšanu</w:t>
      </w:r>
    </w:p>
    <w:p w:rsidR="00035718" w:rsidRDefault="00035718" w:rsidP="00035718">
      <w:pPr>
        <w:jc w:val="both"/>
      </w:pPr>
    </w:p>
    <w:p w:rsidR="00035718" w:rsidRPr="00035718" w:rsidRDefault="00035718" w:rsidP="00035718">
      <w:pPr>
        <w:jc w:val="both"/>
        <w:rPr>
          <w:b/>
          <w:i/>
        </w:rPr>
      </w:pPr>
      <w:r w:rsidRPr="00035718">
        <w:rPr>
          <w:b/>
          <w:i/>
        </w:rPr>
        <w:t>Atbildes:</w:t>
      </w:r>
    </w:p>
    <w:p w:rsidR="00035718" w:rsidRDefault="00035718" w:rsidP="00035718">
      <w:pPr>
        <w:jc w:val="both"/>
      </w:pPr>
    </w:p>
    <w:p w:rsidR="00035718" w:rsidRPr="00D0268A" w:rsidRDefault="00182687" w:rsidP="00D0268A">
      <w:pPr>
        <w:tabs>
          <w:tab w:val="left" w:pos="1080"/>
        </w:tabs>
        <w:jc w:val="both"/>
        <w:rPr>
          <w:color w:val="000000"/>
        </w:rPr>
      </w:pPr>
      <w:r>
        <w:rPr>
          <w:b/>
        </w:rPr>
        <w:t>1.-</w:t>
      </w:r>
      <w:r w:rsidR="00D0268A" w:rsidRPr="00D0268A">
        <w:rPr>
          <w:b/>
        </w:rPr>
        <w:t>2.</w:t>
      </w:r>
      <w:r w:rsidR="00D0268A">
        <w:t xml:space="preserve">   </w:t>
      </w:r>
      <w:r w:rsidR="00035718">
        <w:t xml:space="preserve">Nē, nav izstrādāts konkrēts risinājums, to izstrādās Pretendents </w:t>
      </w:r>
      <w:r>
        <w:t>darbu veikšanas projekta</w:t>
      </w:r>
      <w:r w:rsidRPr="00D0268A">
        <w:rPr>
          <w:color w:val="FF0000"/>
        </w:rPr>
        <w:t xml:space="preserve"> </w:t>
      </w:r>
      <w:r w:rsidRPr="00182687">
        <w:rPr>
          <w:color w:val="000000" w:themeColor="text1"/>
        </w:rPr>
        <w:t>(</w:t>
      </w:r>
      <w:r w:rsidR="00035718">
        <w:t>DVP</w:t>
      </w:r>
      <w:r>
        <w:t>)</w:t>
      </w:r>
      <w:r w:rsidR="00035718">
        <w:t xml:space="preserve"> sastāvā.</w:t>
      </w:r>
    </w:p>
    <w:p w:rsidR="00035718" w:rsidRPr="00D0268A" w:rsidRDefault="00035718" w:rsidP="00D0268A">
      <w:pPr>
        <w:tabs>
          <w:tab w:val="left" w:pos="1080"/>
        </w:tabs>
        <w:jc w:val="both"/>
        <w:rPr>
          <w:color w:val="000000"/>
        </w:rPr>
      </w:pPr>
      <w:r>
        <w:t xml:space="preserve">Galvenais būvuzņēmējs un darbuzņēmēji drīkst uzsākt būvdarbus būvobjektā tikai pēc tam, kad tie izstrādājuši un saskaņojuši </w:t>
      </w:r>
      <w:r w:rsidRPr="00D0268A">
        <w:rPr>
          <w:color w:val="000000" w:themeColor="text1"/>
        </w:rPr>
        <w:t>DVP</w:t>
      </w:r>
      <w:r w:rsidR="00182687">
        <w:rPr>
          <w:color w:val="000000" w:themeColor="text1"/>
        </w:rPr>
        <w:t xml:space="preserve"> </w:t>
      </w:r>
      <w:r w:rsidRPr="00D0268A">
        <w:rPr>
          <w:color w:val="000000" w:themeColor="text1"/>
        </w:rPr>
        <w:t>,</w:t>
      </w:r>
      <w:r w:rsidRPr="00D0268A">
        <w:rPr>
          <w:color w:val="FF0000"/>
        </w:rPr>
        <w:t xml:space="preserve"> </w:t>
      </w:r>
      <w:r w:rsidRPr="00D0268A">
        <w:rPr>
          <w:color w:val="000000"/>
        </w:rPr>
        <w:t>saskaņā ar kuru būvdarbu gaitā jānodrošina visu konstrukciju noturība, vispārējā un vietējā konstrukciju noturība visā būvniecības laikā, kā arī būvniecības normu un noteikumu SNIP III-4-80 „Drošības tehnika būvniecībā” ievērošanu.</w:t>
      </w:r>
    </w:p>
    <w:p w:rsidR="00035718" w:rsidRDefault="00035718" w:rsidP="00035718">
      <w:pPr>
        <w:jc w:val="both"/>
      </w:pPr>
      <w:r>
        <w:t xml:space="preserve">Fasāžu siltināšanu paredzēt veikt no inventāra sastatnēm Lauku inženieru fakultātes ēkas </w:t>
      </w:r>
      <w:proofErr w:type="spellStart"/>
      <w:r>
        <w:t>vienstāvīgā</w:t>
      </w:r>
      <w:proofErr w:type="spellEnd"/>
      <w:r>
        <w:t xml:space="preserve"> un trīsstāvīgā daļā un no paceļamām darba platformām ( piem. GEDA-AB 450/650 ) l0 stāvu daļā.</w:t>
      </w:r>
    </w:p>
    <w:p w:rsidR="00035718" w:rsidRDefault="00035718" w:rsidP="00035718">
      <w:pPr>
        <w:jc w:val="both"/>
      </w:pPr>
      <w:r>
        <w:t xml:space="preserve">DVP sastāvā jāiekļauj : </w:t>
      </w:r>
    </w:p>
    <w:p w:rsidR="00035718" w:rsidRDefault="00035718" w:rsidP="00035718">
      <w:pPr>
        <w:numPr>
          <w:ilvl w:val="0"/>
          <w:numId w:val="1"/>
        </w:numPr>
        <w:jc w:val="both"/>
      </w:pPr>
      <w:r>
        <w:t>detalizēta inventāra sastatņu un paceļamo darbu platformu montāžas – demontāžas, to stiprinājumu un ekspluatācijas shēmas plānos un griezumos, ievērojot  „ Montāžas un darba instrukciju ” , kura sniedz sekojošu informāciju :</w:t>
      </w:r>
    </w:p>
    <w:p w:rsidR="00035718" w:rsidRDefault="00035718" w:rsidP="00035718">
      <w:pPr>
        <w:ind w:left="1080"/>
        <w:jc w:val="both"/>
      </w:pPr>
    </w:p>
    <w:p w:rsidR="00035718" w:rsidRDefault="00035718" w:rsidP="00035718">
      <w:pPr>
        <w:numPr>
          <w:ilvl w:val="1"/>
          <w:numId w:val="1"/>
        </w:numPr>
        <w:jc w:val="both"/>
      </w:pPr>
      <w:r>
        <w:t>pareizu izmantošanu</w:t>
      </w:r>
    </w:p>
    <w:p w:rsidR="00035718" w:rsidRDefault="00035718" w:rsidP="00035718">
      <w:pPr>
        <w:numPr>
          <w:ilvl w:val="1"/>
          <w:numId w:val="1"/>
        </w:numPr>
        <w:jc w:val="both"/>
      </w:pPr>
      <w:r>
        <w:t>neparedzamiem riska faktoriem</w:t>
      </w:r>
    </w:p>
    <w:p w:rsidR="00035718" w:rsidRDefault="00035718" w:rsidP="00035718">
      <w:pPr>
        <w:numPr>
          <w:ilvl w:val="1"/>
          <w:numId w:val="1"/>
        </w:numPr>
        <w:jc w:val="both"/>
      </w:pPr>
      <w:r>
        <w:t>drošību</w:t>
      </w:r>
    </w:p>
    <w:p w:rsidR="00035718" w:rsidRDefault="00035718" w:rsidP="00035718">
      <w:pPr>
        <w:numPr>
          <w:ilvl w:val="1"/>
          <w:numId w:val="1"/>
        </w:numPr>
        <w:jc w:val="both"/>
      </w:pPr>
      <w:r>
        <w:t>montāžu</w:t>
      </w:r>
    </w:p>
    <w:p w:rsidR="00035718" w:rsidRDefault="00035718" w:rsidP="00035718">
      <w:pPr>
        <w:numPr>
          <w:ilvl w:val="1"/>
          <w:numId w:val="1"/>
        </w:numPr>
        <w:jc w:val="both"/>
      </w:pPr>
      <w:r>
        <w:t>darbu ar mašīnu</w:t>
      </w:r>
    </w:p>
    <w:p w:rsidR="00035718" w:rsidRDefault="00035718" w:rsidP="00035718">
      <w:pPr>
        <w:numPr>
          <w:ilvl w:val="1"/>
          <w:numId w:val="1"/>
        </w:numPr>
        <w:jc w:val="both"/>
      </w:pPr>
      <w:r>
        <w:t>bojājumu atklāšanu un novēršanu</w:t>
      </w:r>
    </w:p>
    <w:p w:rsidR="00035718" w:rsidRDefault="00035718" w:rsidP="00035718">
      <w:pPr>
        <w:numPr>
          <w:ilvl w:val="1"/>
          <w:numId w:val="1"/>
        </w:numPr>
        <w:jc w:val="both"/>
      </w:pPr>
      <w:r>
        <w:t>klientu apkalpošanu</w:t>
      </w:r>
    </w:p>
    <w:p w:rsidR="00035718" w:rsidRDefault="00035718" w:rsidP="00035718">
      <w:pPr>
        <w:ind w:left="1080"/>
        <w:jc w:val="both"/>
      </w:pPr>
    </w:p>
    <w:p w:rsidR="00035718" w:rsidRDefault="00035718" w:rsidP="00035718">
      <w:pPr>
        <w:jc w:val="both"/>
      </w:pPr>
      <w:r>
        <w:t>Izstrādātais darbu veikšanas projekts ( DVP) būvuzņēmējam jāsaskaņo ar pasūtītāju un būvprojekta autoru.</w:t>
      </w:r>
    </w:p>
    <w:p w:rsidR="00853734" w:rsidRDefault="00853734"/>
    <w:p w:rsidR="00D0268A" w:rsidRDefault="00D0268A">
      <w:r w:rsidRPr="00D0268A">
        <w:rPr>
          <w:b/>
        </w:rPr>
        <w:t>3</w:t>
      </w:r>
      <w:r>
        <w:t>. Darbu apjomus nedrīkst mainīt.</w:t>
      </w:r>
    </w:p>
    <w:p w:rsidR="00182687" w:rsidRDefault="00182687"/>
    <w:p w:rsidR="00182687" w:rsidRDefault="00182687">
      <w:r w:rsidRPr="00182687">
        <w:rPr>
          <w:b/>
        </w:rPr>
        <w:t>4.-6.</w:t>
      </w:r>
      <w:r>
        <w:t xml:space="preserve"> Nolikuma 6.2.3.9. punktā minētais apliecinājums ir jāparaksta </w:t>
      </w:r>
      <w:r w:rsidR="00FB5046">
        <w:t>pretendentam</w:t>
      </w:r>
      <w:r>
        <w:t>. Ja līgums ir jau noslēgts, tad jāpievieno tā kopija un apliecinājumu var nerakstīt.</w:t>
      </w:r>
    </w:p>
    <w:sectPr w:rsidR="00182687" w:rsidSect="008537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D1C20"/>
    <w:multiLevelType w:val="hybridMultilevel"/>
    <w:tmpl w:val="995E482A"/>
    <w:lvl w:ilvl="0" w:tplc="45F41150">
      <w:start w:val="29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975621A"/>
    <w:multiLevelType w:val="hybridMultilevel"/>
    <w:tmpl w:val="0BE0F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35718"/>
    <w:rsid w:val="00035718"/>
    <w:rsid w:val="00182687"/>
    <w:rsid w:val="00853734"/>
    <w:rsid w:val="00D0268A"/>
    <w:rsid w:val="00FB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2011-10-12T10:00:00Z</dcterms:created>
  <dcterms:modified xsi:type="dcterms:W3CDTF">2011-10-12T10:33:00Z</dcterms:modified>
</cp:coreProperties>
</file>